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4D" w:rsidRDefault="0052784D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ADQUISICIÓN DE SOLUCIONES PARA DIÁLISIS PERITONEAL</w:t>
      </w:r>
    </w:p>
    <w:p w:rsidR="008469C7" w:rsidRPr="00DE5348" w:rsidRDefault="008469C7" w:rsidP="00EF1A7C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ANEXO TÉNICO</w:t>
      </w:r>
    </w:p>
    <w:p w:rsidR="00DE5348" w:rsidRPr="00DE5348" w:rsidRDefault="008469C7" w:rsidP="00EF1A7C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“</w:t>
      </w:r>
      <w:r w:rsidR="00EF1A7C" w:rsidRPr="00DE5348">
        <w:rPr>
          <w:rFonts w:asciiTheme="minorHAnsi" w:hAnsiTheme="minorHAnsi"/>
          <w:b/>
          <w:sz w:val="21"/>
          <w:szCs w:val="21"/>
        </w:rPr>
        <w:t>ANEXO A</w:t>
      </w:r>
      <w:r>
        <w:rPr>
          <w:rFonts w:asciiTheme="minorHAnsi" w:hAnsiTheme="minorHAnsi"/>
          <w:b/>
          <w:sz w:val="21"/>
          <w:szCs w:val="21"/>
        </w:rPr>
        <w:t>”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Como parte del Servicio de Terapia de Diálisis Peritoneal el </w:t>
      </w:r>
      <w:r w:rsidR="007E7470" w:rsidRPr="00DE5348">
        <w:rPr>
          <w:rFonts w:asciiTheme="minorHAnsi" w:hAnsiTheme="minorHAnsi"/>
          <w:sz w:val="21"/>
          <w:szCs w:val="21"/>
        </w:rPr>
        <w:t>proveedor</w:t>
      </w:r>
      <w:r w:rsidRPr="00DE5348">
        <w:rPr>
          <w:rFonts w:asciiTheme="minorHAnsi" w:hAnsiTheme="minorHAnsi"/>
          <w:sz w:val="21"/>
          <w:szCs w:val="21"/>
        </w:rPr>
        <w:t xml:space="preserve"> deberá suministrar los consumibles e insumos, incluyendo el equipo y los accesorios en comodato requerido para los derechohabientes domiciliados de Pensiones Civiles del estado de Chihuahua coordinados por las Delegaciones de Chihuahua y Cd. Juárez</w:t>
      </w:r>
      <w:r w:rsidR="007E7470" w:rsidRPr="00DE5348">
        <w:rPr>
          <w:rFonts w:asciiTheme="minorHAnsi" w:hAnsiTheme="minorHAnsi"/>
          <w:sz w:val="21"/>
          <w:szCs w:val="21"/>
        </w:rPr>
        <w:t>, bajo las condiciones siguientes:</w:t>
      </w:r>
      <w:r w:rsidRPr="00DE5348">
        <w:rPr>
          <w:rFonts w:asciiTheme="minorHAnsi" w:hAnsiTheme="minorHAnsi"/>
          <w:sz w:val="21"/>
          <w:szCs w:val="21"/>
        </w:rPr>
        <w:t xml:space="preserve"> </w:t>
      </w:r>
    </w:p>
    <w:p w:rsidR="003A137B" w:rsidRDefault="003A137B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Los servicios a requerir deberán satisfacer todas las necesidades referentes a insumos, consumibles y maquinaria necesaria para las terapias: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DPA (Diálisis peritoneal automatizada): recurre al uso de máquinas cicladoras para la realización de intercambios. </w:t>
      </w: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DPCA (Diálisis peritoneal continua ambulatoria): mantiene la solución de diálisis en la cavidad peritoneal 24 horas al día, se recambia con un promedio de 4 a 6 horas de permanencia durante el día y 8 horas por la noche. </w:t>
      </w:r>
    </w:p>
    <w:p w:rsidR="00B35D3D" w:rsidRPr="00DE5348" w:rsidRDefault="00B35D3D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DPI (Diálisis peritoneal </w:t>
      </w:r>
      <w:r w:rsidR="002E68EF" w:rsidRPr="00DE5348">
        <w:rPr>
          <w:rFonts w:asciiTheme="minorHAnsi" w:hAnsiTheme="minorHAnsi"/>
          <w:sz w:val="21"/>
          <w:szCs w:val="21"/>
        </w:rPr>
        <w:t>Intermitente</w:t>
      </w:r>
      <w:r w:rsidRPr="00DE5348">
        <w:rPr>
          <w:rFonts w:asciiTheme="minorHAnsi" w:hAnsiTheme="minorHAnsi"/>
          <w:sz w:val="21"/>
          <w:szCs w:val="21"/>
        </w:rPr>
        <w:t xml:space="preserve">): </w:t>
      </w:r>
      <w:r w:rsidR="004E16B1" w:rsidRPr="00DE5348">
        <w:rPr>
          <w:rFonts w:asciiTheme="minorHAnsi" w:hAnsiTheme="minorHAnsi"/>
          <w:sz w:val="21"/>
          <w:szCs w:val="21"/>
        </w:rPr>
        <w:t>Paciente en DPCA que se trata directamente en la Institución/Hospital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CONSUMIBLES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b/>
          <w:sz w:val="21"/>
          <w:szCs w:val="21"/>
        </w:rPr>
      </w:pPr>
    </w:p>
    <w:p w:rsidR="00EF1A7C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El </w:t>
      </w:r>
      <w:r w:rsidR="007E7470" w:rsidRPr="00DE5348">
        <w:rPr>
          <w:rFonts w:asciiTheme="minorHAnsi" w:hAnsiTheme="minorHAnsi"/>
          <w:sz w:val="21"/>
          <w:szCs w:val="21"/>
        </w:rPr>
        <w:t>proveedor</w:t>
      </w:r>
      <w:r w:rsidRPr="00DE5348">
        <w:rPr>
          <w:rFonts w:asciiTheme="minorHAnsi" w:hAnsiTheme="minorHAnsi"/>
          <w:sz w:val="21"/>
          <w:szCs w:val="21"/>
        </w:rPr>
        <w:t xml:space="preserve"> deberá proporcionar los consumibles de acuerdo con lo establecido en los cuadros de</w:t>
      </w:r>
      <w:r w:rsidR="00272A11" w:rsidRPr="00DE5348">
        <w:rPr>
          <w:rFonts w:asciiTheme="minorHAnsi" w:hAnsiTheme="minorHAnsi"/>
          <w:sz w:val="21"/>
          <w:szCs w:val="21"/>
        </w:rPr>
        <w:t xml:space="preserve">l </w:t>
      </w:r>
      <w:r w:rsidRPr="00DE5348">
        <w:rPr>
          <w:rFonts w:asciiTheme="minorHAnsi" w:hAnsiTheme="minorHAnsi"/>
          <w:sz w:val="21"/>
          <w:szCs w:val="21"/>
        </w:rPr>
        <w:t>PRODUCTOS PARA LA APLICACIÓN DE DIÁLISIS PERITONEAL AUTOMATIZADA (DPA) y PRODUCTOS PARA LA APLICACIÓN DE DIÁLISIS PERITONEAL CONTINUA AMBULATORIA (DPCA</w:t>
      </w:r>
      <w:r w:rsidR="004E16B1" w:rsidRPr="00DE5348">
        <w:rPr>
          <w:rFonts w:asciiTheme="minorHAnsi" w:hAnsiTheme="minorHAnsi"/>
          <w:sz w:val="21"/>
          <w:szCs w:val="21"/>
        </w:rPr>
        <w:t xml:space="preserve"> Y DPI</w:t>
      </w:r>
      <w:r w:rsidRPr="00DE5348">
        <w:rPr>
          <w:rFonts w:asciiTheme="minorHAnsi" w:hAnsiTheme="minorHAnsi"/>
          <w:sz w:val="21"/>
          <w:szCs w:val="21"/>
        </w:rPr>
        <w:t>) con las especificaciones señ</w:t>
      </w:r>
      <w:r w:rsidR="00BD4EF1">
        <w:rPr>
          <w:rFonts w:asciiTheme="minorHAnsi" w:hAnsiTheme="minorHAnsi"/>
          <w:sz w:val="21"/>
          <w:szCs w:val="21"/>
        </w:rPr>
        <w:t>aladas en el apartado del mismo, así como las cantidades mínimas y máximas que se describen a continuación:</w:t>
      </w:r>
      <w:r w:rsidRPr="00DE5348">
        <w:rPr>
          <w:rFonts w:asciiTheme="minorHAnsi" w:hAnsiTheme="minorHAnsi"/>
          <w:sz w:val="21"/>
          <w:szCs w:val="21"/>
        </w:rPr>
        <w:t xml:space="preserve"> </w:t>
      </w:r>
    </w:p>
    <w:p w:rsidR="00BD4EF1" w:rsidRDefault="00BD4EF1" w:rsidP="00EF1A7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820"/>
        <w:gridCol w:w="1201"/>
        <w:gridCol w:w="3969"/>
        <w:gridCol w:w="1297"/>
        <w:gridCol w:w="1318"/>
      </w:tblGrid>
      <w:tr w:rsidR="00BD4EF1" w:rsidRPr="00BD4EF1" w:rsidTr="00BD4E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Renglón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Tipo de Terapia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Cantidad Mínima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Cantidad Máxima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ÚNICA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9000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15000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4.25%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900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4200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550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4.25%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DPA, 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 CON ICODEXTRINA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3A137B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400</w:t>
            </w:r>
          </w:p>
        </w:tc>
      </w:tr>
    </w:tbl>
    <w:p w:rsidR="00BD4EF1" w:rsidRDefault="00BD4EF1" w:rsidP="00BD4EF1">
      <w:pPr>
        <w:rPr>
          <w:rFonts w:ascii="Calibri" w:hAnsi="Calibri"/>
          <w:color w:val="000000"/>
          <w:lang w:val="es-MX" w:eastAsia="es-MX"/>
        </w:rPr>
      </w:pPr>
      <w:r w:rsidRPr="00BD4EF1">
        <w:rPr>
          <w:rFonts w:ascii="Calibri" w:hAnsi="Calibri"/>
          <w:color w:val="000000"/>
          <w:lang w:val="es-MX" w:eastAsia="es-MX"/>
        </w:rPr>
        <w:t xml:space="preserve"> </w:t>
      </w:r>
    </w:p>
    <w:p w:rsidR="00BD4EF1" w:rsidRPr="00BD4EF1" w:rsidRDefault="00BD4EF1" w:rsidP="00BD4EF1">
      <w:pPr>
        <w:rPr>
          <w:rFonts w:ascii="Calibri" w:hAnsi="Calibri"/>
          <w:color w:val="000000"/>
          <w:lang w:val="es-MX" w:eastAsia="es-MX"/>
        </w:rPr>
      </w:pPr>
      <w:r w:rsidRPr="00BD4EF1">
        <w:rPr>
          <w:rFonts w:ascii="Calibri" w:hAnsi="Calibri"/>
          <w:color w:val="000000"/>
          <w:lang w:val="es-MX" w:eastAsia="es-MX"/>
        </w:rPr>
        <w:lastRenderedPageBreak/>
        <w:t>En caso de las terapias “DPI” es directamente la entrega a institución según lo solicitado mediante orden de compra y con los insumos descritos mediante clave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Todos los consumibles necesarios para realizar los procedimientos de la terapia de diálisis deberán suministrarse por el proveedor, de acuerdo a las necesidades de la institución, debiendo encontrarse listos para utilizarse; y serán para cada sesión de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>Para terapia DPA: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necesita dos líneas de transferencia por año, y un kit diario de pinzas, tapones y cubre bocas, agregándole a este kit el casete necesario para la máquina </w:t>
      </w:r>
      <w:proofErr w:type="spellStart"/>
      <w:r w:rsidRPr="00DE5348">
        <w:rPr>
          <w:rFonts w:asciiTheme="minorHAnsi" w:hAnsiTheme="minorHAnsi" w:cs="Arial"/>
          <w:sz w:val="21"/>
          <w:szCs w:val="21"/>
        </w:rPr>
        <w:t>cicladora</w:t>
      </w:r>
      <w:proofErr w:type="spellEnd"/>
      <w:r w:rsidRPr="00DE5348">
        <w:rPr>
          <w:rFonts w:asciiTheme="minorHAnsi" w:hAnsiTheme="minorHAnsi" w:cs="Arial"/>
          <w:sz w:val="21"/>
          <w:szCs w:val="21"/>
        </w:rPr>
        <w:t xml:space="preserve">, esto que cumpla con lo especificado en el cuadro ACCESORIOS PARA LA TERAPIA DE DIÁLISIS. 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 xml:space="preserve">Para esta terapia DPCA </w:t>
      </w:r>
      <w:r w:rsidR="00CE5A2D" w:rsidRPr="00DE5348">
        <w:rPr>
          <w:rFonts w:asciiTheme="minorHAnsi" w:hAnsiTheme="minorHAnsi" w:cs="Arial"/>
          <w:bCs/>
          <w:sz w:val="21"/>
          <w:szCs w:val="21"/>
        </w:rPr>
        <w:t>Y DPI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</w:t>
      </w:r>
      <w:r w:rsidR="004E16B1" w:rsidRPr="00DE5348">
        <w:rPr>
          <w:rFonts w:asciiTheme="minorHAnsi" w:hAnsiTheme="minorHAnsi" w:cs="Arial"/>
          <w:sz w:val="21"/>
          <w:szCs w:val="21"/>
        </w:rPr>
        <w:t xml:space="preserve">inscrito en DPCA </w:t>
      </w:r>
      <w:r w:rsidRPr="00DE5348">
        <w:rPr>
          <w:rFonts w:asciiTheme="minorHAnsi" w:hAnsiTheme="minorHAnsi" w:cs="Arial"/>
          <w:sz w:val="21"/>
          <w:szCs w:val="21"/>
        </w:rPr>
        <w:t>necesita dos líneas de transferencia por año, y un kit diario de pinzas, tapones y cubre bocas esto que cumpla con lo especificado en el cuadro ACCESORIOS PARA LA TERAPIA DE DIÁLISIS.</w:t>
      </w:r>
    </w:p>
    <w:p w:rsidR="00EF1A7C" w:rsidRPr="00DE5348" w:rsidRDefault="004E16B1" w:rsidP="00D14555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inscrito en DPI requerirá por el tiempo que designe la Institución mediante Orden de Compra mediante claves los insumos para cada paciente. </w:t>
      </w:r>
    </w:p>
    <w:p w:rsidR="00272A11" w:rsidRPr="00DE5348" w:rsidRDefault="00272A11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Los consumibles deberán ser estrictamente compatibles y de la misma marca que las máquinas cicladoras a utilizar en la prestación del servicio y deberán cumplir con las especificaciones técnicas y de control de cal</w:t>
      </w:r>
      <w:r w:rsidR="00EB3D87">
        <w:rPr>
          <w:rFonts w:asciiTheme="minorHAnsi" w:hAnsiTheme="minorHAnsi"/>
          <w:sz w:val="21"/>
          <w:szCs w:val="21"/>
        </w:rPr>
        <w:t xml:space="preserve">idad, según la Norma </w:t>
      </w:r>
      <w:r w:rsidR="00EB3D87" w:rsidRPr="00DE5348">
        <w:rPr>
          <w:rFonts w:asciiTheme="minorHAnsi" w:hAnsiTheme="minorHAnsi"/>
          <w:sz w:val="21"/>
          <w:szCs w:val="21"/>
        </w:rPr>
        <w:t xml:space="preserve">Mexicana Vigente </w:t>
      </w:r>
      <w:r w:rsidR="00EB3D87">
        <w:rPr>
          <w:rFonts w:asciiTheme="minorHAnsi" w:hAnsiTheme="minorHAnsi"/>
          <w:sz w:val="21"/>
          <w:szCs w:val="21"/>
        </w:rPr>
        <w:t>para la Práctica d</w:t>
      </w:r>
      <w:r w:rsidR="00EB3D87" w:rsidRPr="00DE5348">
        <w:rPr>
          <w:rFonts w:asciiTheme="minorHAnsi" w:hAnsiTheme="minorHAnsi"/>
          <w:sz w:val="21"/>
          <w:szCs w:val="21"/>
        </w:rPr>
        <w:t xml:space="preserve">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REQUERIMIENTO DEL SERVICIO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Como parte del servicio, el proveedor deberá proporcionar las máquinas cicladoras en forma de comodato para cada paciente de DPA. El proveedor adjudicado deberá proporcionar e instalar las máquinas cicladoras en la vivienda del derechohabiente pa</w:t>
      </w:r>
      <w:r w:rsidR="003A137B">
        <w:rPr>
          <w:rFonts w:asciiTheme="minorHAnsi" w:hAnsiTheme="minorHAnsi"/>
          <w:sz w:val="21"/>
          <w:szCs w:val="21"/>
        </w:rPr>
        <w:t>ra la prestación del servicio a partir del 01 de enero del 2023 en coordinación con la convocante.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 xml:space="preserve"> ASISTENCIA TÉCNICA</w:t>
      </w:r>
      <w:r w:rsidRPr="00DE5348">
        <w:rPr>
          <w:rFonts w:asciiTheme="minorHAnsi" w:hAnsiTheme="minorHAnsi"/>
          <w:sz w:val="21"/>
          <w:szCs w:val="21"/>
        </w:rPr>
        <w:t xml:space="preserve">: El proveedor deberá proporcionar la asistencia técnica local o en </w:t>
      </w:r>
      <w:proofErr w:type="spellStart"/>
      <w:r w:rsidRPr="00DE5348">
        <w:rPr>
          <w:rFonts w:asciiTheme="minorHAnsi" w:hAnsiTheme="minorHAnsi"/>
          <w:sz w:val="21"/>
          <w:szCs w:val="21"/>
        </w:rPr>
        <w:t>call</w:t>
      </w:r>
      <w:proofErr w:type="spellEnd"/>
      <w:r w:rsidRPr="00DE5348">
        <w:rPr>
          <w:rFonts w:asciiTheme="minorHAnsi" w:hAnsiTheme="minorHAnsi"/>
          <w:sz w:val="21"/>
          <w:szCs w:val="21"/>
        </w:rPr>
        <w:t xml:space="preserve"> center necesaria, para el uso óptimo de las </w:t>
      </w:r>
      <w:r w:rsidR="004255AD" w:rsidRPr="00DE5348">
        <w:rPr>
          <w:rFonts w:asciiTheme="minorHAnsi" w:hAnsiTheme="minorHAnsi"/>
          <w:sz w:val="21"/>
          <w:szCs w:val="21"/>
        </w:rPr>
        <w:t>máquinas e</w:t>
      </w:r>
      <w:r w:rsidRPr="00DE5348">
        <w:rPr>
          <w:rFonts w:asciiTheme="minorHAnsi" w:hAnsiTheme="minorHAnsi"/>
          <w:sz w:val="21"/>
          <w:szCs w:val="21"/>
        </w:rPr>
        <w:t xml:space="preserve"> insumos que requieran los derechohabientes. Se requiere que la bitácora y la asistencia técnica de movimientos se hagan en coordinación con la </w:t>
      </w:r>
      <w:r w:rsidR="004255AD" w:rsidRPr="00DE5348">
        <w:rPr>
          <w:rFonts w:asciiTheme="minorHAnsi" w:hAnsiTheme="minorHAnsi"/>
          <w:sz w:val="21"/>
          <w:szCs w:val="21"/>
        </w:rPr>
        <w:t>institución,</w:t>
      </w:r>
      <w:r w:rsidRPr="00DE5348">
        <w:rPr>
          <w:rFonts w:asciiTheme="minorHAnsi" w:hAnsiTheme="minorHAnsi"/>
          <w:sz w:val="21"/>
          <w:szCs w:val="21"/>
        </w:rPr>
        <w:t xml:space="preserve"> así como opción a notificación en tiempo real de insumos, consumibles y/o </w:t>
      </w:r>
      <w:r w:rsidR="00B173B8" w:rsidRPr="00DE5348">
        <w:rPr>
          <w:rFonts w:asciiTheme="minorHAnsi" w:hAnsiTheme="minorHAnsi"/>
          <w:sz w:val="21"/>
          <w:szCs w:val="21"/>
        </w:rPr>
        <w:t>equipamiento</w:t>
      </w:r>
      <w:r w:rsidRPr="00DE5348">
        <w:rPr>
          <w:rFonts w:asciiTheme="minorHAnsi" w:hAnsiTheme="minorHAnsi"/>
          <w:sz w:val="21"/>
          <w:szCs w:val="21"/>
        </w:rPr>
        <w:t xml:space="preserve"> entregados al derechohabiente. Se requiere capacitación constante al derechohabiente, su familia y personal de la institución </w:t>
      </w:r>
      <w:r w:rsidR="00D30840" w:rsidRPr="00DE5348">
        <w:rPr>
          <w:rFonts w:asciiTheme="minorHAnsi" w:hAnsiTheme="minorHAnsi"/>
          <w:sz w:val="21"/>
          <w:szCs w:val="21"/>
        </w:rPr>
        <w:t>cada 6 meses y</w:t>
      </w:r>
      <w:r w:rsidR="003A137B">
        <w:rPr>
          <w:rFonts w:asciiTheme="minorHAnsi" w:hAnsiTheme="minorHAnsi"/>
          <w:sz w:val="21"/>
          <w:szCs w:val="21"/>
        </w:rPr>
        <w:t>/o</w:t>
      </w:r>
      <w:r w:rsidR="00D30840" w:rsidRPr="00DE5348">
        <w:rPr>
          <w:rFonts w:asciiTheme="minorHAnsi" w:hAnsiTheme="minorHAnsi"/>
          <w:sz w:val="21"/>
          <w:szCs w:val="21"/>
        </w:rPr>
        <w:t xml:space="preserve"> </w:t>
      </w:r>
      <w:r w:rsidRPr="00DE5348">
        <w:rPr>
          <w:rFonts w:asciiTheme="minorHAnsi" w:hAnsiTheme="minorHAnsi"/>
          <w:sz w:val="21"/>
          <w:szCs w:val="21"/>
        </w:rPr>
        <w:t>según sea requerido.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sz w:val="21"/>
          <w:szCs w:val="21"/>
          <w:u w:val="single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SERVICIO INTEGRAL</w:t>
      </w:r>
      <w:r w:rsidRPr="00DE5348">
        <w:rPr>
          <w:rFonts w:asciiTheme="minorHAnsi" w:hAnsiTheme="minorHAnsi"/>
          <w:sz w:val="21"/>
          <w:szCs w:val="21"/>
        </w:rPr>
        <w:t xml:space="preserve">. Se requiere que el proveedor incluya: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Inscripción y seguimiento de los pacientes a cada terapia.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Visitas programadas por parte de coordinación clínica.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Entrega de product</w:t>
      </w:r>
      <w:r w:rsidR="001F2397" w:rsidRPr="00DE5348">
        <w:rPr>
          <w:rFonts w:asciiTheme="minorHAnsi" w:hAnsiTheme="minorHAnsi"/>
          <w:sz w:val="21"/>
          <w:szCs w:val="21"/>
        </w:rPr>
        <w:t>o en el</w:t>
      </w:r>
      <w:r w:rsidRPr="00DE5348">
        <w:rPr>
          <w:rFonts w:asciiTheme="minorHAnsi" w:hAnsiTheme="minorHAnsi"/>
          <w:sz w:val="21"/>
          <w:szCs w:val="21"/>
        </w:rPr>
        <w:t xml:space="preserve"> domicilio d</w:t>
      </w:r>
      <w:r w:rsidR="00595B76" w:rsidRPr="00DE5348">
        <w:rPr>
          <w:rFonts w:asciiTheme="minorHAnsi" w:hAnsiTheme="minorHAnsi"/>
          <w:sz w:val="21"/>
          <w:szCs w:val="21"/>
        </w:rPr>
        <w:t>el paciente según sea requerido</w:t>
      </w:r>
      <w:r w:rsidR="001F2397" w:rsidRPr="00DE5348">
        <w:rPr>
          <w:rFonts w:asciiTheme="minorHAnsi" w:hAnsiTheme="minorHAnsi"/>
          <w:sz w:val="21"/>
          <w:szCs w:val="21"/>
        </w:rPr>
        <w:t xml:space="preserve">, con previa autorización </w:t>
      </w:r>
      <w:r w:rsidR="00F01A01" w:rsidRPr="00DE5348">
        <w:rPr>
          <w:rFonts w:asciiTheme="minorHAnsi" w:hAnsiTheme="minorHAnsi"/>
          <w:sz w:val="21"/>
          <w:szCs w:val="21"/>
        </w:rPr>
        <w:t>por</w:t>
      </w:r>
      <w:r w:rsidR="001F2397" w:rsidRPr="00DE5348">
        <w:rPr>
          <w:rFonts w:asciiTheme="minorHAnsi" w:hAnsiTheme="minorHAnsi"/>
          <w:sz w:val="21"/>
          <w:szCs w:val="21"/>
        </w:rPr>
        <w:t xml:space="preserve"> la Unidad de Hemodiálisis, con carácter mensual por medio de bitácora electrónica </w:t>
      </w:r>
      <w:r w:rsidR="009B316E" w:rsidRPr="00DE5348">
        <w:rPr>
          <w:rFonts w:asciiTheme="minorHAnsi" w:hAnsiTheme="minorHAnsi"/>
          <w:sz w:val="21"/>
          <w:szCs w:val="21"/>
        </w:rPr>
        <w:t>(corroborar vigencia</w:t>
      </w:r>
      <w:r w:rsidR="00F01A01" w:rsidRPr="00DE5348">
        <w:rPr>
          <w:rFonts w:asciiTheme="minorHAnsi" w:hAnsiTheme="minorHAnsi"/>
          <w:sz w:val="21"/>
          <w:szCs w:val="21"/>
        </w:rPr>
        <w:t xml:space="preserve"> y movimientos del paciente</w:t>
      </w:r>
      <w:r w:rsidR="009B316E" w:rsidRPr="00DE5348">
        <w:rPr>
          <w:rFonts w:asciiTheme="minorHAnsi" w:hAnsiTheme="minorHAnsi"/>
          <w:sz w:val="21"/>
          <w:szCs w:val="21"/>
        </w:rPr>
        <w:t>).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Con Plataforma de Conectivida</w:t>
      </w:r>
      <w:r w:rsidR="00F01A01" w:rsidRPr="00DE5348">
        <w:rPr>
          <w:rFonts w:asciiTheme="minorHAnsi" w:hAnsiTheme="minorHAnsi"/>
          <w:sz w:val="21"/>
          <w:szCs w:val="21"/>
        </w:rPr>
        <w:t xml:space="preserve">d, que asegure, la coordinación de pacientes, proveedor e Institución, facilitando claves de acceso y </w:t>
      </w:r>
      <w:proofErr w:type="spellStart"/>
      <w:r w:rsidR="00F01A01" w:rsidRPr="00DE5348">
        <w:rPr>
          <w:rFonts w:asciiTheme="minorHAnsi" w:hAnsiTheme="minorHAnsi"/>
          <w:sz w:val="21"/>
          <w:szCs w:val="21"/>
        </w:rPr>
        <w:t>password</w:t>
      </w:r>
      <w:proofErr w:type="spellEnd"/>
      <w:r w:rsidR="00F01A01" w:rsidRPr="00DE5348">
        <w:rPr>
          <w:rFonts w:asciiTheme="minorHAnsi" w:hAnsiTheme="minorHAnsi"/>
          <w:sz w:val="21"/>
          <w:szCs w:val="21"/>
        </w:rPr>
        <w:t xml:space="preserve">. </w:t>
      </w:r>
    </w:p>
    <w:p w:rsidR="00F01A01" w:rsidRPr="00DE5348" w:rsidRDefault="00F01A01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lastRenderedPageBreak/>
        <w:t>Todo insumo entregado en el domicilio del paciente, deberá ser signado por el paciente y/o familiar, con el cual se deberá acompañar cada factura de cobro, para su validación en la Unidad de Hemodiálisis.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CONDICIONES DE LA PRESTACIÓN DEL SERVICIO</w:t>
      </w:r>
      <w:r w:rsidRPr="00DE5348">
        <w:rPr>
          <w:rFonts w:asciiTheme="minorHAnsi" w:hAnsiTheme="minorHAnsi"/>
          <w:sz w:val="21"/>
          <w:szCs w:val="21"/>
        </w:rPr>
        <w:t xml:space="preserve">. La transportación de los insumos, consumibles, equipos y demás bienes, las maniobras de carga y descarga de los bienes, materiales y los propios equipos en el lugar de entrega e instalación de estos </w:t>
      </w:r>
      <w:r w:rsidR="004255AD" w:rsidRPr="00DE5348">
        <w:rPr>
          <w:rFonts w:asciiTheme="minorHAnsi" w:hAnsiTheme="minorHAnsi"/>
          <w:sz w:val="21"/>
          <w:szCs w:val="21"/>
        </w:rPr>
        <w:t>últimos,</w:t>
      </w:r>
      <w:r w:rsidRPr="00DE5348">
        <w:rPr>
          <w:rFonts w:asciiTheme="minorHAnsi" w:hAnsiTheme="minorHAnsi"/>
          <w:sz w:val="21"/>
          <w:szCs w:val="21"/>
        </w:rPr>
        <w:t xml:space="preserve"> así como su resguardo estarán a cargo del Proveedor, hasta que estos sean recibidos de conformidad por la Institución.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B3D87" w:rsidP="00EF1A7C">
      <w:pPr>
        <w:jc w:val="both"/>
        <w:rPr>
          <w:rFonts w:asciiTheme="minorHAnsi" w:hAnsiTheme="minorHAnsi"/>
          <w:sz w:val="21"/>
          <w:szCs w:val="21"/>
        </w:rPr>
      </w:pPr>
      <w:r w:rsidRPr="00EB3D87">
        <w:rPr>
          <w:rFonts w:asciiTheme="minorHAnsi" w:hAnsiTheme="minorHAnsi"/>
          <w:sz w:val="21"/>
          <w:szCs w:val="21"/>
          <w:u w:val="single"/>
        </w:rPr>
        <w:t>2.4.</w:t>
      </w:r>
      <w:r>
        <w:rPr>
          <w:rFonts w:asciiTheme="minorHAnsi" w:hAnsiTheme="minorHAnsi"/>
          <w:sz w:val="21"/>
          <w:szCs w:val="21"/>
        </w:rPr>
        <w:t xml:space="preserve"> </w:t>
      </w:r>
      <w:r w:rsidRPr="00EB3D87">
        <w:rPr>
          <w:rFonts w:asciiTheme="minorHAnsi" w:hAnsiTheme="minorHAnsi"/>
          <w:sz w:val="21"/>
          <w:szCs w:val="21"/>
          <w:u w:val="single"/>
        </w:rPr>
        <w:t>MANTENIMIENTO CORRECTIVO Y PREVENTIVO</w:t>
      </w:r>
      <w:r>
        <w:rPr>
          <w:rFonts w:asciiTheme="minorHAnsi" w:hAnsiTheme="minorHAnsi"/>
          <w:sz w:val="21"/>
          <w:szCs w:val="21"/>
        </w:rPr>
        <w:t xml:space="preserve">. </w:t>
      </w:r>
      <w:r w:rsidR="00EF1A7C" w:rsidRPr="00DE5348">
        <w:rPr>
          <w:rFonts w:asciiTheme="minorHAnsi" w:hAnsiTheme="minorHAnsi"/>
          <w:sz w:val="21"/>
          <w:szCs w:val="21"/>
        </w:rPr>
        <w:t xml:space="preserve">El proveedor deberá proporcionar el servicio de mantenimiento preventivo y correctivo y actualizaciones correspondientes para las máquinas cicladoras, equipo adicional, sistema de información, programas de cómputo asociados y mobiliario.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4255AD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Para el caso de fallas en los equipos, sistema de información y programas de cómputo asociados, el proveedor deberá tener una respuesta en un tiempo no mayor a 6 horas. Brindar asistencia técnica dentro de un lapso no mayor a 6 horas y efectuar las reparaciones necesarias correctivas específicas correspondientes en un lapso no mayor de 24 horas, estos tiempos son contados partir de la notificación del derechohabiente o de la Institución al proveedor, posteriores al reporte escrito recibido por cualquier vía: electrónica, telefónica (el deberá de asignar un numero de reporte) y/o personal adjunto a constancia escrita.  </w:t>
      </w:r>
    </w:p>
    <w:p w:rsidR="004255AD" w:rsidRPr="00DE5348" w:rsidRDefault="004255AD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Si la reparación del mismo excede dicho número de días, durante su reparación el proveedor deberá proporcionar un equipo de respaldo similar o de superiores características a la unidad afectada para la continuidad de la atención durante el periodo del contrato.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En caso de que no sea factible proporcionar un equipo de respaldo, el proveedor adjudicado será responsable de proporcionar por su cuenta y cargo los servicios que se interrumpan.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El Proveedor, durante la vigencia de la garantía de los bienes, deberá realizar las actualizaciones respectivas del software, que permita mantener actualizado el equipo, sin costo adicional.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EF1A7C" w:rsidRDefault="00EF1A7C" w:rsidP="00EF1A7C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br w:type="page"/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lastRenderedPageBreak/>
        <w:t>PRODUCTOS PARA LA APLICACIÓN DE DIÁLISIS PERITONEAL AUTOMATIZADA (DPA):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3"/>
        <w:gridCol w:w="7333"/>
      </w:tblGrid>
      <w:tr w:rsidR="003851F1" w:rsidRPr="00DE5348" w:rsidTr="003851F1">
        <w:tc>
          <w:tcPr>
            <w:tcW w:w="1077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PRESENTACIÓN/DESCRIPCIÓN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1.5%.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347.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2.5%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2.5%.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398.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4.25%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486. Envase con bolsa de 6 000 ml.</w:t>
            </w:r>
          </w:p>
        </w:tc>
      </w:tr>
      <w:tr w:rsidR="003851F1" w:rsidRPr="00DE5348" w:rsidTr="003851F1">
        <w:tc>
          <w:tcPr>
            <w:tcW w:w="1077" w:type="pct"/>
            <w:vAlign w:val="center"/>
          </w:tcPr>
          <w:p w:rsidR="003851F1" w:rsidRPr="00DE5348" w:rsidRDefault="003851F1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3923" w:type="pct"/>
            <w:vAlign w:val="center"/>
          </w:tcPr>
          <w:p w:rsidR="003851F1" w:rsidRPr="00DE5348" w:rsidRDefault="003851F1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0.0051g. Envase con bolsa de 2 000 ml.</w:t>
            </w:r>
          </w:p>
        </w:tc>
      </w:tr>
    </w:tbl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PRODUCTOS PARA LA APLICACIÓN DE DIÁLISIS PERITONEAL CONTINUA AMBULATORIA (DPCA):</w:t>
      </w: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3"/>
        <w:gridCol w:w="7103"/>
      </w:tblGrid>
      <w:tr w:rsidR="003851F1" w:rsidRPr="00DE5348" w:rsidTr="003851F1">
        <w:tc>
          <w:tcPr>
            <w:tcW w:w="120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NOMBRE</w:t>
            </w:r>
          </w:p>
        </w:tc>
        <w:tc>
          <w:tcPr>
            <w:tcW w:w="380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PRESENTACIÓN/DESCRIPCIÓN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1.5 %. 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. 100 ml. pH 5.0 -5.6.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por litro: sodio 132. Calcio 3.5magnesio 0.5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347.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2.5%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A6623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2.5%. 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398.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lastRenderedPageBreak/>
              <w:t>SOLUCIÓN PARA DIÁLISIS PERITONEAL. BAJA EN MAGNESIO AL 4.25%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486. Envase con bolsa de 2 000 ml y con sistema integrado de tubería en "Y" y en el otro extremo bolsa de drenaje, con Línea de   transferencia con conector universal compatible y tapón con antiséptico.</w:t>
            </w:r>
          </w:p>
        </w:tc>
      </w:tr>
      <w:tr w:rsidR="003851F1" w:rsidRPr="00DE5348" w:rsidTr="003851F1">
        <w:trPr>
          <w:trHeight w:val="119"/>
        </w:trPr>
        <w:tc>
          <w:tcPr>
            <w:tcW w:w="120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3800" w:type="pct"/>
            <w:vAlign w:val="center"/>
          </w:tcPr>
          <w:p w:rsidR="003851F1" w:rsidRPr="00DE5348" w:rsidRDefault="003851F1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0.0051g. Envase con bolsa de 2 000 ml y con sistema integrado de tubería en "Y" y en el otro extremo bolsa de drenaje, con Línea de transferencia con conector universal compatible y tapón con antiséptico.</w:t>
            </w:r>
          </w:p>
        </w:tc>
      </w:tr>
    </w:tbl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DE5348">
        <w:rPr>
          <w:rFonts w:asciiTheme="minorHAnsi" w:hAnsiTheme="minorHAnsi" w:cs="Arial"/>
          <w:b/>
          <w:sz w:val="21"/>
          <w:szCs w:val="21"/>
        </w:rPr>
        <w:t>ACCESORIOS PARA LA TERAPIA DE DIÁLISIS.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7"/>
        <w:gridCol w:w="1159"/>
        <w:gridCol w:w="5920"/>
      </w:tblGrid>
      <w:tr w:rsidR="003851F1" w:rsidRPr="00DE5348" w:rsidTr="003851F1">
        <w:tc>
          <w:tcPr>
            <w:tcW w:w="1213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NOMBRE</w:t>
            </w:r>
          </w:p>
        </w:tc>
        <w:tc>
          <w:tcPr>
            <w:tcW w:w="620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TERAPIA</w:t>
            </w:r>
          </w:p>
        </w:tc>
        <w:tc>
          <w:tcPr>
            <w:tcW w:w="3167" w:type="pct"/>
          </w:tcPr>
          <w:p w:rsidR="003851F1" w:rsidRPr="00DE5348" w:rsidRDefault="003851F1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DESCRIPCIÓN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LÍNEA DE TRANSFERENCIA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EF1A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Equipos de línea corta de transferencia de 6 meses de duración, para unirse al conector correspondiente al catéter del paciente, sistema automático. (Una línea de transferencia por paciente nuevo a la terapia de diálisis y una línea por el cambio de la línea cada seis meses al paciente que permanezca en la terapia).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DIÁLISIS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- Pinzas de sujeción desechable para el manejo de equipo para la diálisis peritoneal.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- Tapones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luer-lock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protector con solución antiséptica de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yodopodividona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para protección del equipo de transferencia, sistema automático. (un tapón por bolsa en la terapia de DPCA y un tapón por sesión en la terapia de DPA)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- Cubre bocas 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EQUIPO DE AUTOMATIZACIÓN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DPA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Máquina </w:t>
            </w:r>
            <w:proofErr w:type="spellStart"/>
            <w:r w:rsidRPr="00DE5348">
              <w:rPr>
                <w:rFonts w:asciiTheme="minorHAnsi" w:hAnsiTheme="minorHAnsi" w:cs="Arial"/>
                <w:sz w:val="21"/>
                <w:szCs w:val="21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 para diálisis peritoneal</w:t>
            </w:r>
          </w:p>
        </w:tc>
      </w:tr>
      <w:tr w:rsidR="003851F1" w:rsidRPr="00DE5348" w:rsidTr="003851F1">
        <w:tc>
          <w:tcPr>
            <w:tcW w:w="1213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MÁQUINA DIÁLISIS</w:t>
            </w:r>
          </w:p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20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</w:t>
            </w:r>
          </w:p>
        </w:tc>
        <w:tc>
          <w:tcPr>
            <w:tcW w:w="3167" w:type="pct"/>
            <w:vAlign w:val="center"/>
          </w:tcPr>
          <w:p w:rsidR="003851F1" w:rsidRPr="00DE5348" w:rsidRDefault="003851F1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Casete desechable para el manejo de maquina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(una pieza por sesión del paciente), una diaria </w:t>
            </w:r>
          </w:p>
        </w:tc>
      </w:tr>
    </w:tbl>
    <w:p w:rsidR="00E25129" w:rsidRPr="00DE5348" w:rsidRDefault="00E25129" w:rsidP="00EF1A7C">
      <w:pPr>
        <w:rPr>
          <w:sz w:val="21"/>
          <w:szCs w:val="21"/>
        </w:rPr>
      </w:pPr>
      <w:bookmarkStart w:id="0" w:name="_GoBack"/>
      <w:bookmarkEnd w:id="0"/>
    </w:p>
    <w:sectPr w:rsidR="00E25129" w:rsidRPr="00DE534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6A" w:rsidRDefault="002B606A">
      <w:r>
        <w:separator/>
      </w:r>
    </w:p>
  </w:endnote>
  <w:endnote w:type="continuationSeparator" w:id="0">
    <w:p w:rsidR="002B606A" w:rsidRDefault="002B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Pr="00A70FBC" w:rsidRDefault="001D677E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469C7">
      <w:rPr>
        <w:rStyle w:val="Nmerodepgina"/>
        <w:rFonts w:ascii="Arial" w:hAnsi="Arial" w:cs="Arial"/>
        <w:noProof/>
      </w:rPr>
      <w:t>5</w:t>
    </w:r>
    <w:r w:rsidRPr="00A70FBC">
      <w:rPr>
        <w:rStyle w:val="Nmerodepgina"/>
        <w:rFonts w:ascii="Arial" w:hAnsi="Arial" w:cs="Arial"/>
      </w:rPr>
      <w:fldChar w:fldCharType="end"/>
    </w:r>
  </w:p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6A" w:rsidRDefault="002B606A">
      <w:r>
        <w:separator/>
      </w:r>
    </w:p>
  </w:footnote>
  <w:footnote w:type="continuationSeparator" w:id="0">
    <w:p w:rsidR="002B606A" w:rsidRDefault="002B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772400" cy="10092604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315" cy="1009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9C7">
      <w:rPr>
        <w:rFonts w:asciiTheme="minorHAnsi" w:hAnsiTheme="minorHAnsi"/>
        <w:b/>
        <w:noProof/>
        <w:lang w:val="es-MX" w:eastAsia="es-MX"/>
      </w:rPr>
      <w:t xml:space="preserve">PENSIONES CIVILES DEL ESTADO DE CHIHUAHUA   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 xml:space="preserve">LICITACIÓN PÚBLICA PRESENCIAL No. PCE-LPP-004-2023     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 xml:space="preserve">     ADQUISICIÓN DE SOLUCIONES PARA DIÁLISIS PERITONEAL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 xml:space="preserve">ANEXO </w:t>
    </w:r>
    <w:r>
      <w:rPr>
        <w:rFonts w:asciiTheme="minorHAnsi" w:hAnsiTheme="minorHAnsi"/>
        <w:b/>
        <w:noProof/>
        <w:lang w:val="es-MX" w:eastAsia="es-MX"/>
      </w:rPr>
      <w:t>TÉCNICO</w:t>
    </w:r>
  </w:p>
  <w:p w:rsidR="000E4032" w:rsidRPr="003851F1" w:rsidRDefault="001321E1" w:rsidP="008469C7">
    <w:pPr>
      <w:pStyle w:val="Encabezado"/>
      <w:tabs>
        <w:tab w:val="clear" w:pos="4419"/>
        <w:tab w:val="clear" w:pos="8838"/>
        <w:tab w:val="left" w:pos="3736"/>
      </w:tabs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 w15:restartNumberingAfterBreak="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7A1"/>
    <w:rsid w:val="00020A28"/>
    <w:rsid w:val="00021B81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606A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E68EF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137B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C6730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2348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69C7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51A3"/>
    <w:rsid w:val="00976A1D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4EF1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3D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4A79F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8E60-4A89-4CE1-94DE-A4FAD49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1929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12518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Alicia Stefany Beltrán Rosales</cp:lastModifiedBy>
  <cp:revision>9</cp:revision>
  <cp:lastPrinted>2021-08-02T17:27:00Z</cp:lastPrinted>
  <dcterms:created xsi:type="dcterms:W3CDTF">2021-08-02T18:12:00Z</dcterms:created>
  <dcterms:modified xsi:type="dcterms:W3CDTF">2022-12-07T15:54:00Z</dcterms:modified>
</cp:coreProperties>
</file>